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F7" w:rsidRDefault="003010F7">
      <w:r>
        <w:t>Prénom :………………………………………….</w:t>
      </w:r>
      <w:r>
        <w:tab/>
      </w:r>
      <w:r>
        <w:tab/>
      </w:r>
      <w:r>
        <w:tab/>
      </w:r>
      <w:r>
        <w:tab/>
      </w:r>
      <w:r>
        <w:tab/>
        <w:t>Date : ………………………………….</w:t>
      </w:r>
    </w:p>
    <w:p w:rsidR="001519C4" w:rsidRDefault="003010F7" w:rsidP="003010F7">
      <w:pPr>
        <w:jc w:val="center"/>
        <w:rPr>
          <w:rFonts w:ascii="TangoMacabre" w:hAnsi="TangoMacabre"/>
          <w:sz w:val="80"/>
          <w:szCs w:val="80"/>
          <w:u w:val="single"/>
        </w:rPr>
      </w:pPr>
      <w:r w:rsidRPr="007215F0">
        <w:rPr>
          <w:rFonts w:ascii="TangoMacabre" w:hAnsi="TangoMacabre"/>
          <w:sz w:val="80"/>
          <w:szCs w:val="80"/>
          <w:u w:val="single"/>
        </w:rPr>
        <w:t>Le squelette</w:t>
      </w:r>
    </w:p>
    <w:p w:rsidR="007215F0" w:rsidRPr="008B4039" w:rsidRDefault="007215F0" w:rsidP="007215F0">
      <w:pPr>
        <w:rPr>
          <w:rFonts w:ascii="Geometr231 Lt BT" w:hAnsi="Geometr231 Lt BT"/>
          <w:b/>
          <w:sz w:val="28"/>
          <w:szCs w:val="28"/>
          <w:u w:val="single"/>
        </w:rPr>
      </w:pPr>
      <w:r w:rsidRPr="008B4039">
        <w:rPr>
          <w:rFonts w:ascii="Geometr231 Lt BT" w:hAnsi="Geometr231 Lt BT"/>
          <w:b/>
          <w:sz w:val="28"/>
          <w:szCs w:val="28"/>
          <w:u w:val="single"/>
        </w:rPr>
        <w:t>Replace les os</w:t>
      </w:r>
      <w:r w:rsidR="00960767">
        <w:rPr>
          <w:rFonts w:ascii="Geometr231 Lt BT" w:hAnsi="Geometr231 Lt BT"/>
          <w:b/>
          <w:sz w:val="28"/>
          <w:szCs w:val="28"/>
          <w:u w:val="single"/>
        </w:rPr>
        <w:t xml:space="preserve"> soulignés</w:t>
      </w:r>
      <w:r w:rsidRPr="008B4039">
        <w:rPr>
          <w:rFonts w:ascii="Geometr231 Lt BT" w:hAnsi="Geometr231 Lt BT"/>
          <w:b/>
          <w:sz w:val="28"/>
          <w:szCs w:val="28"/>
          <w:u w:val="single"/>
        </w:rPr>
        <w:t xml:space="preserve"> </w:t>
      </w:r>
      <w:r w:rsidR="007026D3">
        <w:rPr>
          <w:rFonts w:ascii="Geometr231 Lt BT" w:hAnsi="Geometr231 Lt BT"/>
          <w:b/>
          <w:sz w:val="28"/>
          <w:szCs w:val="28"/>
          <w:u w:val="single"/>
        </w:rPr>
        <w:t>sur le squelette</w:t>
      </w:r>
      <w:r w:rsidRPr="008B4039">
        <w:rPr>
          <w:rFonts w:ascii="Geometr231 Lt BT" w:hAnsi="Geometr231 Lt BT"/>
          <w:b/>
          <w:sz w:val="28"/>
          <w:szCs w:val="28"/>
          <w:u w:val="single"/>
        </w:rPr>
        <w:t> :</w:t>
      </w:r>
    </w:p>
    <w:p w:rsidR="007215F0" w:rsidRPr="00960767" w:rsidRDefault="004B2A9D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>
        <w:rPr>
          <w:rFonts w:ascii="Teletype" w:eastAsia="Times New Roman" w:hAnsi="Teletype" w:cs="Times New Roman"/>
          <w:noProof/>
          <w:sz w:val="18"/>
          <w:szCs w:val="18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228600</wp:posOffset>
            </wp:positionV>
            <wp:extent cx="4705350" cy="6410325"/>
            <wp:effectExtent l="19050" t="0" r="0" b="0"/>
            <wp:wrapTight wrapText="bothSides">
              <wp:wrapPolygon edited="0">
                <wp:start x="-87" y="0"/>
                <wp:lineTo x="-87" y="21568"/>
                <wp:lineTo x="21600" y="21568"/>
                <wp:lineTo x="21600" y="0"/>
                <wp:lineTo x="-8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767">
        <w:rPr>
          <w:rFonts w:ascii="Teletype" w:eastAsia="Times New Roman" w:hAnsi="Teletype" w:cs="Times New Roman"/>
          <w:sz w:val="18"/>
          <w:szCs w:val="18"/>
          <w:lang w:eastAsia="fr-BE"/>
        </w:rPr>
        <w:t>-</w:t>
      </w:r>
      <w:r w:rsidR="007215F0"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Le </w:t>
      </w:r>
      <w:r w:rsidR="007215F0" w:rsidRPr="00960767">
        <w:rPr>
          <w:rFonts w:ascii="Teletype" w:eastAsia="Times New Roman" w:hAnsi="Teletype" w:cs="Times New Roman"/>
          <w:b/>
          <w:bCs/>
          <w:sz w:val="18"/>
          <w:szCs w:val="18"/>
          <w:u w:val="single"/>
          <w:lang w:eastAsia="fr-BE"/>
        </w:rPr>
        <w:t>Crâne</w:t>
      </w:r>
      <w:r w:rsidR="007215F0"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protège le cerveau contre les blessures.</w:t>
      </w:r>
    </w:p>
    <w:p w:rsidR="007215F0" w:rsidRPr="00960767" w:rsidRDefault="007215F0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La </w:t>
      </w:r>
      <w:r w:rsidRPr="00960767">
        <w:rPr>
          <w:rFonts w:ascii="Teletype" w:eastAsia="Times New Roman" w:hAnsi="Teletype" w:cs="Times New Roman"/>
          <w:b/>
          <w:bCs/>
          <w:sz w:val="18"/>
          <w:szCs w:val="18"/>
          <w:u w:val="single"/>
          <w:lang w:eastAsia="fr-BE"/>
        </w:rPr>
        <w:t>Mandibule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un os qui forme la mâchoire inférieure.</w:t>
      </w:r>
    </w:p>
    <w:p w:rsidR="007215F0" w:rsidRPr="00960767" w:rsidRDefault="001F569A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>
        <w:rPr>
          <w:rFonts w:ascii="Teletype" w:eastAsia="Times New Roman" w:hAnsi="Teletype" w:cs="Times New Roman"/>
          <w:noProof/>
          <w:sz w:val="18"/>
          <w:szCs w:val="18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28.15pt;margin-top:12.35pt;width:104.25pt;height:4.5pt;flip:y;z-index:251661312" o:connectortype="straight" strokeweight="1.25pt"/>
        </w:pict>
      </w:r>
      <w:r w:rsidR="008B4039"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La </w:t>
      </w:r>
      <w:r w:rsidR="008B4039" w:rsidRPr="00960767">
        <w:rPr>
          <w:rFonts w:ascii="Teletype" w:eastAsia="Times New Roman" w:hAnsi="Teletype" w:cs="Times New Roman"/>
          <w:b/>
          <w:bCs/>
          <w:sz w:val="18"/>
          <w:szCs w:val="18"/>
          <w:u w:val="single"/>
          <w:lang w:eastAsia="fr-BE"/>
        </w:rPr>
        <w:t>Clavicule</w:t>
      </w:r>
      <w:r w:rsidR="008B4039"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un os en forme d'une tige mince qui forme l’épaule.</w:t>
      </w:r>
    </w:p>
    <w:p w:rsidR="008B4039" w:rsidRPr="00960767" w:rsidRDefault="008B4039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>- L'</w:t>
      </w:r>
      <w:r w:rsidRPr="00960767">
        <w:rPr>
          <w:rFonts w:ascii="Teletype" w:eastAsia="Times New Roman" w:hAnsi="Teletype" w:cs="Times New Roman"/>
          <w:b/>
          <w:bCs/>
          <w:sz w:val="18"/>
          <w:szCs w:val="18"/>
          <w:u w:val="single"/>
          <w:lang w:eastAsia="fr-BE"/>
        </w:rPr>
        <w:t>Humérus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un os qui relie l’avant bras à l’épaule.</w:t>
      </w:r>
    </w:p>
    <w:p w:rsidR="008B4039" w:rsidRPr="00960767" w:rsidRDefault="008B4039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Le </w:t>
      </w:r>
      <w:r w:rsidRPr="00960767">
        <w:rPr>
          <w:rFonts w:ascii="Teletype" w:eastAsia="Times New Roman" w:hAnsi="Teletype" w:cs="Times New Roman"/>
          <w:b/>
          <w:bCs/>
          <w:sz w:val="18"/>
          <w:szCs w:val="18"/>
          <w:u w:val="single"/>
          <w:lang w:eastAsia="fr-BE"/>
        </w:rPr>
        <w:t>Sternum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la partie antérieure de la cage thoracique. 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br/>
        <w:t>Il est situé au centre du thorax, c'est-à-dire la poitrine.</w:t>
      </w:r>
    </w:p>
    <w:p w:rsidR="008B4039" w:rsidRPr="00960767" w:rsidRDefault="008B4039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Il existe 12 paires de </w:t>
      </w:r>
      <w:r w:rsidRPr="00960767">
        <w:rPr>
          <w:rFonts w:ascii="Teletype" w:eastAsia="Times New Roman" w:hAnsi="Teletype" w:cs="Times New Roman"/>
          <w:b/>
          <w:bCs/>
          <w:sz w:val="18"/>
          <w:szCs w:val="18"/>
          <w:u w:val="single"/>
          <w:lang w:eastAsia="fr-BE"/>
        </w:rPr>
        <w:t>Côtes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>.</w:t>
      </w:r>
    </w:p>
    <w:p w:rsidR="008B4039" w:rsidRPr="00960767" w:rsidRDefault="001F569A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>
        <w:rPr>
          <w:rFonts w:ascii="Teletype" w:eastAsia="Times New Roman" w:hAnsi="Teletype" w:cs="Times New Roman"/>
          <w:noProof/>
          <w:sz w:val="18"/>
          <w:szCs w:val="18"/>
          <w:lang w:eastAsia="fr-BE"/>
        </w:rPr>
        <w:pict>
          <v:shape id="_x0000_s1028" type="#_x0000_t32" style="position:absolute;margin-left:323.65pt;margin-top:4.1pt;width:63pt;height:75.75pt;z-index:251659264" o:connectortype="straight" strokeweight="1.25pt"/>
        </w:pict>
      </w:r>
      <w:r w:rsidR="008B4039"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Le </w:t>
      </w:r>
      <w:r w:rsidR="008B4039" w:rsidRPr="00960767">
        <w:rPr>
          <w:rFonts w:ascii="Teletype" w:eastAsia="Times New Roman" w:hAnsi="Teletype" w:cs="Times New Roman"/>
          <w:b/>
          <w:bCs/>
          <w:sz w:val="18"/>
          <w:szCs w:val="18"/>
          <w:u w:val="single"/>
          <w:lang w:eastAsia="fr-BE"/>
        </w:rPr>
        <w:t>Radius</w:t>
      </w:r>
      <w:r w:rsidR="008B4039"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un os long situé entre l’humérus et les os de la main.</w:t>
      </w:r>
    </w:p>
    <w:p w:rsidR="008B4039" w:rsidRPr="00960767" w:rsidRDefault="008B4039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Le </w:t>
      </w:r>
      <w:r w:rsidRPr="00960767">
        <w:rPr>
          <w:rFonts w:ascii="Teletype" w:eastAsia="Times New Roman" w:hAnsi="Teletype" w:cs="Times New Roman"/>
          <w:b/>
          <w:sz w:val="18"/>
          <w:szCs w:val="18"/>
          <w:u w:val="single"/>
          <w:lang w:eastAsia="fr-BE"/>
        </w:rPr>
        <w:t>Cubitus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un os long situé entre l’humérus et le</w:t>
      </w:r>
      <w:r w:rsidR="00296EA4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s os de la main. Il est le voisin du radius. </w:t>
      </w:r>
      <w:r w:rsidR="00296EA4">
        <w:rPr>
          <w:rFonts w:ascii="Teletype" w:eastAsia="Times New Roman" w:hAnsi="Teletype" w:cs="Times New Roman"/>
          <w:sz w:val="18"/>
          <w:szCs w:val="18"/>
          <w:lang w:eastAsia="fr-BE"/>
        </w:rPr>
        <w:br/>
        <w:t>Il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l'os de l'avant-bras qui est aligné avec le petit doigt.</w:t>
      </w:r>
    </w:p>
    <w:p w:rsidR="008B4039" w:rsidRPr="00960767" w:rsidRDefault="008B4039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Le </w:t>
      </w:r>
      <w:r w:rsidRPr="00960767">
        <w:rPr>
          <w:rFonts w:ascii="Teletype" w:eastAsia="Times New Roman" w:hAnsi="Teletype" w:cs="Times New Roman"/>
          <w:b/>
          <w:sz w:val="18"/>
          <w:szCs w:val="18"/>
          <w:u w:val="single"/>
          <w:lang w:eastAsia="fr-BE"/>
        </w:rPr>
        <w:t>Coccyx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à la fin de la Colonne vertébrale.</w:t>
      </w:r>
    </w:p>
    <w:p w:rsidR="008B4039" w:rsidRPr="00960767" w:rsidRDefault="008B4039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Le </w:t>
      </w:r>
      <w:r w:rsidRPr="00960767">
        <w:rPr>
          <w:rFonts w:ascii="Teletype" w:eastAsia="Times New Roman" w:hAnsi="Teletype" w:cs="Times New Roman"/>
          <w:b/>
          <w:sz w:val="18"/>
          <w:szCs w:val="18"/>
          <w:u w:val="single"/>
          <w:lang w:eastAsia="fr-BE"/>
        </w:rPr>
        <w:t>Fémur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situé dans la région de la cuisse.</w:t>
      </w:r>
    </w:p>
    <w:p w:rsidR="00960767" w:rsidRPr="00960767" w:rsidRDefault="00960767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Le </w:t>
      </w:r>
      <w:r w:rsidRPr="00960767">
        <w:rPr>
          <w:rFonts w:ascii="Teletype" w:eastAsia="Times New Roman" w:hAnsi="Teletype" w:cs="Times New Roman"/>
          <w:b/>
          <w:bCs/>
          <w:sz w:val="18"/>
          <w:szCs w:val="18"/>
          <w:u w:val="single"/>
          <w:lang w:eastAsia="fr-BE"/>
        </w:rPr>
        <w:t>Péroné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  l'os de la jambe est situé dans l</w:t>
      </w:r>
      <w:r w:rsidR="00296EA4">
        <w:rPr>
          <w:rFonts w:ascii="Teletype" w:eastAsia="Times New Roman" w:hAnsi="Teletype" w:cs="Times New Roman"/>
          <w:sz w:val="18"/>
          <w:szCs w:val="18"/>
          <w:lang w:eastAsia="fr-BE"/>
        </w:rPr>
        <w:t>a région du mollet.</w:t>
      </w:r>
    </w:p>
    <w:p w:rsidR="00960767" w:rsidRDefault="00960767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Le </w:t>
      </w:r>
      <w:r w:rsidRPr="00960767">
        <w:rPr>
          <w:rFonts w:ascii="Teletype" w:eastAsia="Times New Roman" w:hAnsi="Teletype" w:cs="Times New Roman"/>
          <w:b/>
          <w:bCs/>
          <w:sz w:val="18"/>
          <w:szCs w:val="18"/>
          <w:u w:val="single"/>
          <w:lang w:eastAsia="fr-BE"/>
        </w:rPr>
        <w:t>Tibia</w:t>
      </w:r>
      <w:r w:rsidRPr="00960767"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un os du membre inférieur.</w:t>
      </w:r>
    </w:p>
    <w:p w:rsidR="00053442" w:rsidRDefault="00960767" w:rsidP="007215F0">
      <w:pPr>
        <w:rPr>
          <w:rFonts w:ascii="Teletype" w:eastAsia="Times New Roman" w:hAnsi="Teletype" w:cs="Times New Roman"/>
          <w:sz w:val="18"/>
          <w:szCs w:val="18"/>
          <w:lang w:eastAsia="fr-BE"/>
        </w:rPr>
      </w:pPr>
      <w:r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La </w:t>
      </w:r>
      <w:r w:rsidRPr="00960767">
        <w:rPr>
          <w:rFonts w:ascii="Teletype" w:eastAsia="Times New Roman" w:hAnsi="Teletype" w:cs="Times New Roman"/>
          <w:b/>
          <w:sz w:val="18"/>
          <w:szCs w:val="18"/>
          <w:u w:val="single"/>
          <w:lang w:eastAsia="fr-BE"/>
        </w:rPr>
        <w:t>Colonne vertébrale</w:t>
      </w:r>
      <w:r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 est constituée des vertèbres, elle supporte la tête.</w:t>
      </w:r>
    </w:p>
    <w:p w:rsidR="008B4039" w:rsidRDefault="00053442" w:rsidP="007215F0">
      <w:pPr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>
        <w:rPr>
          <w:rFonts w:ascii="Teletype" w:eastAsia="Times New Roman" w:hAnsi="Teletype" w:cs="Times New Roman"/>
          <w:sz w:val="18"/>
          <w:szCs w:val="18"/>
          <w:lang w:eastAsia="fr-BE"/>
        </w:rPr>
        <w:t xml:space="preserve">- Le </w:t>
      </w:r>
      <w:r w:rsidRPr="00053442">
        <w:rPr>
          <w:rFonts w:ascii="Teletype" w:eastAsia="Times New Roman" w:hAnsi="Teletype" w:cs="Times New Roman"/>
          <w:b/>
          <w:sz w:val="18"/>
          <w:szCs w:val="18"/>
          <w:u w:val="single"/>
          <w:lang w:eastAsia="fr-BE"/>
        </w:rPr>
        <w:t>Sacrum</w:t>
      </w:r>
      <w:r>
        <w:rPr>
          <w:rFonts w:ascii="Teletype" w:eastAsia="Times New Roman" w:hAnsi="Teletype" w:cs="Times New Roman"/>
          <w:sz w:val="18"/>
          <w:szCs w:val="18"/>
          <w:lang w:eastAsia="fr-BE"/>
        </w:rPr>
        <w:t> </w:t>
      </w:r>
      <w:r w:rsidR="00960767" w:rsidRPr="00E12656">
        <w:rPr>
          <w:rFonts w:ascii="Times New Roman" w:eastAsia="Times New Roman" w:hAnsi="Times New Roman" w:cs="Times New Roman"/>
          <w:sz w:val="24"/>
          <w:szCs w:val="24"/>
          <w:lang w:eastAsia="fr-BE"/>
        </w:rPr>
        <w:br/>
      </w:r>
    </w:p>
    <w:p w:rsidR="00053442" w:rsidRPr="008B4039" w:rsidRDefault="00053442" w:rsidP="007215F0">
      <w:pPr>
        <w:rPr>
          <w:rFonts w:ascii="Times New Roman" w:eastAsia="Times New Roman" w:hAnsi="Times New Roman" w:cs="Times New Roman"/>
          <w:sz w:val="20"/>
          <w:szCs w:val="20"/>
          <w:lang w:eastAsia="fr-BE"/>
        </w:rPr>
      </w:pPr>
    </w:p>
    <w:sectPr w:rsidR="00053442" w:rsidRPr="008B4039" w:rsidSect="0015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ngoMacabre">
    <w:panose1 w:val="02000604020000020004"/>
    <w:charset w:val="00"/>
    <w:family w:val="auto"/>
    <w:pitch w:val="variable"/>
    <w:sig w:usb0="00000003" w:usb1="00000000" w:usb2="00000000" w:usb3="00000000" w:csb0="00000001" w:csb1="00000000"/>
  </w:font>
  <w:font w:name="Geometr231 Lt BT">
    <w:panose1 w:val="020D0302020203020903"/>
    <w:charset w:val="00"/>
    <w:family w:val="swiss"/>
    <w:pitch w:val="variable"/>
    <w:sig w:usb0="00000087" w:usb1="00000000" w:usb2="00000000" w:usb3="00000000" w:csb0="0000001B" w:csb1="00000000"/>
  </w:font>
  <w:font w:name="Tele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0F7"/>
    <w:rsid w:val="00053442"/>
    <w:rsid w:val="001519C4"/>
    <w:rsid w:val="001F569A"/>
    <w:rsid w:val="0020611F"/>
    <w:rsid w:val="00296EA4"/>
    <w:rsid w:val="003010F7"/>
    <w:rsid w:val="004B2A9D"/>
    <w:rsid w:val="007026D3"/>
    <w:rsid w:val="007215F0"/>
    <w:rsid w:val="008B4039"/>
    <w:rsid w:val="0096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8765-49BE-44DE-AE3E-91BE7147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Leleux Michaël</dc:creator>
  <cp:lastModifiedBy>Leleux Michaël</cp:lastModifiedBy>
  <cp:revision>4</cp:revision>
  <cp:lastPrinted>2011-01-16T18:16:00Z</cp:lastPrinted>
  <dcterms:created xsi:type="dcterms:W3CDTF">2011-01-16T16:35:00Z</dcterms:created>
  <dcterms:modified xsi:type="dcterms:W3CDTF">2011-02-06T18:07:00Z</dcterms:modified>
</cp:coreProperties>
</file>