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34n6x0y82758" w:id="0"/>
      <w:bookmarkEnd w:id="0"/>
      <w:r w:rsidDel="00000000" w:rsidR="00000000" w:rsidRPr="00000000">
        <w:rPr>
          <w:rtl w:val="0"/>
        </w:rPr>
        <w:t xml:space="preserve">LES SOUS-GENRES LITTERAIRES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jc w:val="center"/>
        <w:rPr/>
      </w:pPr>
      <w:bookmarkStart w:colFirst="0" w:colLast="0" w:name="_t2hr4w24tbna" w:id="1"/>
      <w:bookmarkEnd w:id="1"/>
      <w:r w:rsidDel="00000000" w:rsidR="00000000" w:rsidRPr="00000000">
        <w:rPr>
          <w:rtl w:val="0"/>
        </w:rPr>
        <w:t xml:space="preserve">Comparer pour mieux appréhender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UAA 0 : </w:t>
      </w:r>
      <w:r w:rsidDel="00000000" w:rsidR="00000000" w:rsidRPr="00000000">
        <w:rPr>
          <w:rtl w:val="0"/>
        </w:rPr>
        <w:t xml:space="preserve">Justifier une réponse, expliciter une procédure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UAA 1 :</w:t>
      </w:r>
      <w:r w:rsidDel="00000000" w:rsidR="00000000" w:rsidRPr="00000000">
        <w:rPr>
          <w:rtl w:val="0"/>
        </w:rPr>
        <w:t xml:space="preserve"> Rechercher, collecter l’information et en garder des traces.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UAA 2 :</w:t>
      </w:r>
      <w:r w:rsidDel="00000000" w:rsidR="00000000" w:rsidRPr="00000000">
        <w:rPr>
          <w:rtl w:val="0"/>
        </w:rPr>
        <w:t xml:space="preserve"> Construire un tableau comparant deux ou plusieurs objets relevant de domaines auxquels les élèves ont été initiés au cours. 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PRODUCTIONS ATTENDUES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UAA 1 : </w:t>
      </w:r>
      <w:r w:rsidDel="00000000" w:rsidR="00000000" w:rsidRPr="00000000">
        <w:rPr>
          <w:rtl w:val="0"/>
        </w:rPr>
        <w:t xml:space="preserve">Dossier de documents avec bibliographie.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UAA 2 : </w:t>
      </w:r>
      <w:r w:rsidDel="00000000" w:rsidR="00000000" w:rsidRPr="00000000">
        <w:rPr>
          <w:rtl w:val="0"/>
        </w:rPr>
        <w:t xml:space="preserve">Tableau comparatif avec des critères de comparaison.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PLAN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Création d’un dossier de documents (textes, vidéos, podcasts…) sur un sous genre littéraire dans le but de pouvoir définir ce genre.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Sélection des informations au sein de ce dossier et présentation sous la forme d’un </w:t>
      </w:r>
      <w:r w:rsidDel="00000000" w:rsidR="00000000" w:rsidRPr="00000000">
        <w:rPr>
          <w:b w:val="1"/>
          <w:rtl w:val="0"/>
        </w:rPr>
        <w:t xml:space="preserve">mindmap</w:t>
      </w:r>
      <w:r w:rsidDel="00000000" w:rsidR="00000000" w:rsidRPr="00000000">
        <w:rPr>
          <w:b w:val="1"/>
          <w:rtl w:val="0"/>
        </w:rPr>
        <w:t xml:space="preserve"> à l’ensemble de la classe.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Recherche d’une solution de mise en page pour présenter intelligemment et visuellement les différents sous genres littéraires.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Réalisation, par chaque groupe, du tableau comparatif des 5 genres.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Élaboration d’une synthèse reprenant les procédures et le vocabulaire.</w:t>
      </w:r>
    </w:p>
    <w:p w:rsidR="00000000" w:rsidDel="00000000" w:rsidP="00000000" w:rsidRDefault="00000000" w:rsidRPr="00000000" w14:paraId="00000015">
      <w:pPr>
        <w:spacing w:line="36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MÉTHODOLOGIE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Création d’un dossier de documents (textes, vidéos, podcasts…) sur un sous genre littéraire dans le but de pouvoir définir ce genre.  </w:t>
      </w:r>
      <w:r w:rsidDel="00000000" w:rsidR="00000000" w:rsidRPr="00000000">
        <w:rPr>
          <w:rtl w:val="0"/>
        </w:rPr>
        <w:t xml:space="preserve">+/-  2x50’</w:t>
      </w:r>
    </w:p>
    <w:p w:rsidR="00000000" w:rsidDel="00000000" w:rsidP="00000000" w:rsidRDefault="00000000" w:rsidRPr="00000000" w14:paraId="0000001A">
      <w:pPr>
        <w:widowControl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Un sous-genre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par groupe : fantastique, héroïc fantasy, policier, merveilleux, science fiction.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Production :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un document word à envoyer par mail.</w:t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3 sources d’information :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textes, vidéos, podcasts… référencées dans la bibliographie.</w:t>
      </w:r>
    </w:p>
    <w:p w:rsidR="00000000" w:rsidDel="00000000" w:rsidP="00000000" w:rsidRDefault="00000000" w:rsidRPr="00000000" w14:paraId="0000001D">
      <w:pPr>
        <w:widowControl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2 œuvres littéraires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significatives avec des extraits à lire. 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Bibliographie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formelle (ils doivent faire une recherche pour savoir comment la rédiger).</w:t>
      </w:r>
    </w:p>
    <w:p w:rsidR="00000000" w:rsidDel="00000000" w:rsidP="00000000" w:rsidRDefault="00000000" w:rsidRPr="00000000" w14:paraId="0000001F">
      <w:pPr>
        <w:widowControl w:val="0"/>
        <w:ind w:left="1440" w:firstLine="0"/>
        <w:rPr>
          <w:rFonts w:ascii="Quicksand" w:cs="Quicksand" w:eastAsia="Quicksand" w:hAnsi="Quicksand"/>
          <w:color w:val="4c3e3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6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Sélection des informations au sein de ce dossier et présentation sous la forme d’un </w:t>
      </w:r>
      <w:r w:rsidDel="00000000" w:rsidR="00000000" w:rsidRPr="00000000">
        <w:rPr>
          <w:b w:val="1"/>
          <w:rtl w:val="0"/>
        </w:rPr>
        <w:t xml:space="preserve">mindmap</w:t>
      </w:r>
      <w:r w:rsidDel="00000000" w:rsidR="00000000" w:rsidRPr="00000000">
        <w:rPr>
          <w:b w:val="1"/>
          <w:rtl w:val="0"/>
        </w:rPr>
        <w:t xml:space="preserve"> à l’ensemble de la classe.    </w:t>
      </w:r>
      <w:r w:rsidDel="00000000" w:rsidR="00000000" w:rsidRPr="00000000">
        <w:rPr>
          <w:rtl w:val="0"/>
        </w:rPr>
        <w:t xml:space="preserve">+/-  25’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Au sein de leur propre dossier documentaire, les élèves sélectionnent </w:t>
      </w: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les informations 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permettant d’</w:t>
      </w: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identifier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et de </w:t>
      </w: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définir 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leur sous-genre.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Production :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mettre sous forme d’un mindmap ces informations.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Quicksand" w:cs="Quicksand" w:eastAsia="Quicksand" w:hAnsi="Quicksand"/>
          <w:color w:val="4c3e3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Recherche d’une solution de mise en page pour présenter intelligemment et visuellement les différents sous genres littéraires.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Une personne présente le mindmap à la classe.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Une deuxième lit le premier extrait.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Une troisième lit le deuxième extrait.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Quicksand" w:cs="Quicksand" w:eastAsia="Quicksand" w:hAnsi="Quicksand"/>
          <w:color w:val="4c3e35"/>
          <w:sz w:val="8"/>
          <w:szCs w:val="8"/>
        </w:rPr>
      </w:pP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Celles et ceux qui écoutent repèrent </w:t>
      </w: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les points communs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et </w:t>
      </w:r>
      <w:r w:rsidDel="00000000" w:rsidR="00000000" w:rsidRPr="00000000">
        <w:rPr>
          <w:rFonts w:ascii="Quicksand" w:cs="Quicksand" w:eastAsia="Quicksand" w:hAnsi="Quicksand"/>
          <w:b w:val="1"/>
          <w:color w:val="4c3e35"/>
          <w:sz w:val="20"/>
          <w:szCs w:val="20"/>
          <w:rtl w:val="0"/>
        </w:rPr>
        <w:t xml:space="preserve">les différences</w:t>
      </w:r>
      <w:r w:rsidDel="00000000" w:rsidR="00000000" w:rsidRPr="00000000">
        <w:rPr>
          <w:rFonts w:ascii="Quicksand" w:cs="Quicksand" w:eastAsia="Quicksand" w:hAnsi="Quicksand"/>
          <w:color w:val="4c3e35"/>
          <w:sz w:val="20"/>
          <w:szCs w:val="20"/>
          <w:rtl w:val="0"/>
        </w:rPr>
        <w:t xml:space="preserve"> avec leur sous-genre en les notant.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Quicksand" w:cs="Quicksand" w:eastAsia="Quicksand" w:hAnsi="Quicksand"/>
          <w:color w:val="4c3e3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36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Réalisation, par chaque groupe, du tableau comparatif des 5 genres. </w:t>
      </w:r>
    </w:p>
    <w:p w:rsidR="00000000" w:rsidDel="00000000" w:rsidP="00000000" w:rsidRDefault="00000000" w:rsidRPr="00000000" w14:paraId="0000002B">
      <w:pPr>
        <w:spacing w:line="36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36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Élaboration d’une synthèse reprenant les procédures et le vocabulaire.</w:t>
      </w:r>
    </w:p>
    <w:p w:rsidR="00000000" w:rsidDel="00000000" w:rsidP="00000000" w:rsidRDefault="00000000" w:rsidRPr="00000000" w14:paraId="0000002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rPr/>
      </w:pPr>
      <w:r w:rsidDel="00000000" w:rsidR="00000000" w:rsidRPr="00000000">
        <w:rPr>
          <w:rtl w:val="0"/>
        </w:rPr>
        <w:t xml:space="preserve">Prévoir une</w:t>
      </w:r>
      <w:r w:rsidDel="00000000" w:rsidR="00000000" w:rsidRPr="00000000">
        <w:rPr>
          <w:b w:val="1"/>
          <w:rtl w:val="0"/>
        </w:rPr>
        <w:t xml:space="preserve"> compréhension à la lecture </w:t>
      </w:r>
      <w:r w:rsidDel="00000000" w:rsidR="00000000" w:rsidRPr="00000000">
        <w:rPr>
          <w:rtl w:val="0"/>
        </w:rPr>
        <w:t xml:space="preserve">d’un texte informatif et </w:t>
      </w:r>
      <w:r w:rsidDel="00000000" w:rsidR="00000000" w:rsidRPr="00000000">
        <w:rPr>
          <w:b w:val="1"/>
          <w:rtl w:val="0"/>
        </w:rPr>
        <w:t xml:space="preserve">une compréhension à l’audition</w:t>
      </w:r>
      <w:r w:rsidDel="00000000" w:rsidR="00000000" w:rsidRPr="00000000">
        <w:rPr>
          <w:rtl w:val="0"/>
        </w:rPr>
        <w:t xml:space="preserve"> d’un texte narratif. </w:t>
      </w:r>
    </w:p>
    <w:p w:rsidR="00000000" w:rsidDel="00000000" w:rsidP="00000000" w:rsidRDefault="00000000" w:rsidRPr="00000000" w14:paraId="0000002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ANNEXES 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Exemple de tableau comparatif des sous genres littéraires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1125"/>
        <w:gridCol w:w="1395"/>
        <w:gridCol w:w="1470"/>
        <w:gridCol w:w="1275"/>
        <w:gridCol w:w="1530"/>
        <w:tblGridChange w:id="0">
          <w:tblGrid>
            <w:gridCol w:w="3015"/>
            <w:gridCol w:w="1125"/>
            <w:gridCol w:w="1395"/>
            <w:gridCol w:w="1470"/>
            <w:gridCol w:w="1275"/>
            <w:gridCol w:w="1530"/>
          </w:tblGrid>
        </w:tblGridChange>
      </w:tblGrid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S-F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Héroïc Fantasy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Fantastique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Policier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Merveilleux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Thématique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Phénomène inhabituel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Réaction du héros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 des personnages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Spatio-temporel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Structure du texte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Intention de l’auteur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Tradition orale ou écrite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Grille d’évaluation</w:t>
      </w:r>
    </w:p>
    <w:p w:rsidR="00000000" w:rsidDel="00000000" w:rsidP="00000000" w:rsidRDefault="00000000" w:rsidRPr="00000000" w14:paraId="0000007A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Title"/>
        <w:spacing w:line="360" w:lineRule="auto"/>
        <w:jc w:val="center"/>
        <w:rPr>
          <w:sz w:val="40"/>
          <w:szCs w:val="40"/>
        </w:rPr>
      </w:pPr>
      <w:bookmarkStart w:colFirst="0" w:colLast="0" w:name="_9ucn7ix25chq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Title"/>
        <w:spacing w:line="360" w:lineRule="auto"/>
        <w:jc w:val="center"/>
        <w:rPr>
          <w:b w:val="1"/>
          <w:sz w:val="40"/>
          <w:szCs w:val="40"/>
        </w:rPr>
      </w:pPr>
      <w:bookmarkStart w:colFirst="0" w:colLast="0" w:name="_etrc6nau6ktg" w:id="3"/>
      <w:bookmarkEnd w:id="3"/>
      <w:r w:rsidDel="00000000" w:rsidR="00000000" w:rsidRPr="00000000">
        <w:rPr>
          <w:b w:val="1"/>
          <w:sz w:val="40"/>
          <w:szCs w:val="40"/>
          <w:rtl w:val="0"/>
        </w:rPr>
        <w:t xml:space="preserve">LES SOUS GENRES LITTERAIRES </w:t>
      </w:r>
    </w:p>
    <w:p w:rsidR="00000000" w:rsidDel="00000000" w:rsidP="00000000" w:rsidRDefault="00000000" w:rsidRPr="00000000" w14:paraId="0000007D">
      <w:pPr>
        <w:pStyle w:val="Title"/>
        <w:spacing w:line="360" w:lineRule="auto"/>
        <w:jc w:val="center"/>
        <w:rPr>
          <w:sz w:val="40"/>
          <w:szCs w:val="40"/>
        </w:rPr>
      </w:pPr>
      <w:bookmarkStart w:colFirst="0" w:colLast="0" w:name="_jdeyo28r3l7j" w:id="4"/>
      <w:bookmarkEnd w:id="4"/>
      <w:r w:rsidDel="00000000" w:rsidR="00000000" w:rsidRPr="00000000">
        <w:rPr>
          <w:sz w:val="40"/>
          <w:szCs w:val="40"/>
          <w:rtl w:val="0"/>
        </w:rPr>
        <w:t xml:space="preserve">Elaborer un tableau comparatif</w:t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Grille d’évaluation</w:t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591.1417322834649" w:tblpY="0"/>
        <w:tblW w:w="87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35"/>
        <w:gridCol w:w="2112"/>
        <w:gridCol w:w="4418"/>
        <w:tblGridChange w:id="0">
          <w:tblGrid>
            <w:gridCol w:w="2235"/>
            <w:gridCol w:w="2112"/>
            <w:gridCol w:w="4418"/>
          </w:tblGrid>
        </w:tblGridChange>
      </w:tblGrid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100" w:before="100" w:line="240" w:lineRule="auto"/>
              <w:jc w:val="center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Genre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100" w:before="100" w:line="240" w:lineRule="auto"/>
              <w:jc w:val="center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mallCaps w:val="1"/>
                <w:sz w:val="28"/>
                <w:szCs w:val="28"/>
                <w:rtl w:val="0"/>
              </w:rPr>
              <w:t xml:space="preserve">Tableau comparatif</w:t>
            </w:r>
          </w:p>
        </w:tc>
      </w:tr>
      <w:tr>
        <w:trPr>
          <w:cantSplit w:val="0"/>
          <w:trHeight w:val="895.9570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60" w:before="60" w:line="240" w:lineRule="auto"/>
              <w:jc w:val="center"/>
              <w:rPr>
                <w:b w:val="1"/>
                <w:smallCaps w:val="1"/>
              </w:rPr>
            </w:pPr>
            <w:r w:rsidDel="00000000" w:rsidR="00000000" w:rsidRPr="00000000">
              <w:rPr>
                <w:b w:val="1"/>
                <w:smallCaps w:val="1"/>
                <w:rtl w:val="0"/>
              </w:rPr>
              <w:t xml:space="preserve">Contrat de communication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120"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Conception et réalisation d’un tableau comparatif des sous genres littéraires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60" w:before="60" w:line="240" w:lineRule="auto"/>
              <w:jc w:val="center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Critères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60" w:before="60" w:line="240" w:lineRule="auto"/>
              <w:jc w:val="center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Sous-critères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60" w:before="60" w:line="240" w:lineRule="auto"/>
              <w:jc w:val="center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Indicateurs potentiels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Lisibilité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Typographique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Tout est lisible.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Mise en page soignée, aérée et structurée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Recevabilité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Linguistique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Correction de l’orthographe et de la ponctuation.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Correction de la syntaxe et du lexique.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Sociale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Registre et ton adaptés.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Intelligibilité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Densité des informations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Proportion acceptable d’implicites.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Organisation des contenus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Organisation des informations selon une structure critériée.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Tableau à double entrée.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Eléments comparés alignés.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Cohérence textuelle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0" w:afterAutospacing="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Connecteurs appropriés au rapport logique. 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Anaphores adéquates.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Pertinence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Adéquation à la thématique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12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Pertinence des critères de comparaison. 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100" w:before="120" w:line="240" w:lineRule="auto"/>
              <w:jc w:val="center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Adéquation du texte à son intention : mettre en avant les points commun et les différences entre les différents sous genres littéraires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before="6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Les caractéristiques communes et variables correctes.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4"/>
              </w:numPr>
              <w:tabs>
                <w:tab w:val="left" w:leader="none" w:pos="567"/>
              </w:tabs>
              <w:spacing w:after="40" w:line="240" w:lineRule="auto"/>
              <w:ind w:left="17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Présence de toutes les caractéristiques des sous genres.</w:t>
            </w:r>
          </w:p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40" w:line="240" w:lineRule="auto"/>
              <w:ind w:left="17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1133.858267716535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Quicksand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▪"/>
      <w:lvlJc w:val="left"/>
      <w:pPr>
        <w:ind w:left="170" w:hanging="17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